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951288" w:rsidP="00BA4631">
      <w:pPr>
        <w:spacing w:after="0" w:line="240" w:lineRule="auto"/>
        <w:jc w:val="center"/>
      </w:pPr>
      <w:r>
        <w:t>October 8</w:t>
      </w:r>
      <w:r w:rsidR="00464A8F">
        <w:t>, 2019</w:t>
      </w:r>
    </w:p>
    <w:p w:rsidR="00301264" w:rsidRDefault="00301264" w:rsidP="00BA4631">
      <w:pPr>
        <w:spacing w:after="0" w:line="240" w:lineRule="auto"/>
        <w:jc w:val="center"/>
      </w:pPr>
    </w:p>
    <w:p w:rsidR="00301264" w:rsidRDefault="00301264" w:rsidP="00301264">
      <w:pPr>
        <w:spacing w:after="0" w:line="240" w:lineRule="auto"/>
        <w:jc w:val="both"/>
      </w:pPr>
      <w:r>
        <w:t>The meeting was called to order at 7:05 pm by Chairman Hockett.  Present were:  Terry Hockett, DuWayne Sonnenberg, Wes Kellogg, Kathy Glawe, Debi Moltzan, Phil and Patty Poppenhagen, Don Miller, Thomas Mohr and Tim Posch.</w:t>
      </w:r>
    </w:p>
    <w:p w:rsidR="00301264" w:rsidRDefault="00301264" w:rsidP="00301264">
      <w:pPr>
        <w:spacing w:after="0" w:line="240" w:lineRule="auto"/>
        <w:jc w:val="both"/>
      </w:pPr>
    </w:p>
    <w:p w:rsidR="00301264" w:rsidRDefault="00301264" w:rsidP="00301264">
      <w:pPr>
        <w:spacing w:after="0" w:line="240" w:lineRule="auto"/>
        <w:jc w:val="both"/>
      </w:pPr>
      <w:r>
        <w:t xml:space="preserve">The agenda was considered.  Kellogg made a motion to approve the agenda as presented.  D Sonnenberg second.  All in favor.  Motion carried. </w:t>
      </w:r>
    </w:p>
    <w:p w:rsidR="00301264" w:rsidRDefault="00301264" w:rsidP="00301264">
      <w:pPr>
        <w:spacing w:after="0" w:line="240" w:lineRule="auto"/>
        <w:jc w:val="both"/>
      </w:pPr>
    </w:p>
    <w:p w:rsidR="00301264" w:rsidRDefault="00301264" w:rsidP="00301264">
      <w:pPr>
        <w:spacing w:after="0" w:line="240" w:lineRule="auto"/>
        <w:jc w:val="both"/>
      </w:pPr>
      <w:r>
        <w:t xml:space="preserve">Kellogg made a motion to approve the treasurer’s report as presented.  D Sonnenberg second.  All in favor.  Motion carried. </w:t>
      </w:r>
    </w:p>
    <w:tbl>
      <w:tblPr>
        <w:tblW w:w="11090" w:type="dxa"/>
        <w:tblInd w:w="-856" w:type="dxa"/>
        <w:tblLook w:val="04A0"/>
      </w:tblPr>
      <w:tblGrid>
        <w:gridCol w:w="222"/>
        <w:gridCol w:w="588"/>
        <w:gridCol w:w="584"/>
        <w:gridCol w:w="579"/>
        <w:gridCol w:w="538"/>
        <w:gridCol w:w="538"/>
        <w:gridCol w:w="535"/>
        <w:gridCol w:w="481"/>
        <w:gridCol w:w="479"/>
        <w:gridCol w:w="478"/>
        <w:gridCol w:w="480"/>
        <w:gridCol w:w="222"/>
        <w:gridCol w:w="620"/>
        <w:gridCol w:w="240"/>
        <w:gridCol w:w="720"/>
        <w:gridCol w:w="222"/>
        <w:gridCol w:w="1160"/>
        <w:gridCol w:w="400"/>
        <w:gridCol w:w="222"/>
        <w:gridCol w:w="360"/>
        <w:gridCol w:w="360"/>
        <w:gridCol w:w="840"/>
        <w:gridCol w:w="222"/>
      </w:tblGrid>
      <w:tr w:rsidR="00E9534B" w:rsidRPr="00E9534B" w:rsidTr="00E9534B">
        <w:trPr>
          <w:trHeight w:val="270"/>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751" w:type="dxa"/>
            <w:gridSpan w:val="3"/>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18"/>
                <w:szCs w:val="18"/>
              </w:rPr>
            </w:pPr>
            <w:r w:rsidRPr="00E9534B">
              <w:rPr>
                <w:rFonts w:ascii="Calibri" w:eastAsia="Times New Roman" w:hAnsi="Calibri" w:cs="Calibri"/>
                <w:b/>
                <w:bCs/>
                <w:color w:val="000000"/>
                <w:sz w:val="18"/>
                <w:szCs w:val="18"/>
              </w:rPr>
              <w:t xml:space="preserve">For the Period : </w:t>
            </w:r>
          </w:p>
        </w:tc>
        <w:tc>
          <w:tcPr>
            <w:tcW w:w="3049"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18"/>
                <w:szCs w:val="18"/>
              </w:rPr>
            </w:pPr>
            <w:r w:rsidRPr="00E9534B">
              <w:rPr>
                <w:rFonts w:ascii="Calibri" w:eastAsia="Times New Roman" w:hAnsi="Calibri" w:cs="Calibri"/>
                <w:b/>
                <w:bCs/>
                <w:color w:val="000000"/>
                <w:sz w:val="18"/>
                <w:szCs w:val="18"/>
              </w:rPr>
              <w:t>9/1/2019 To 9/30/2019</w:t>
            </w:r>
          </w:p>
        </w:tc>
        <w:tc>
          <w:tcPr>
            <w:tcW w:w="48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r>
      <w:tr w:rsidR="00E9534B" w:rsidRPr="00E9534B" w:rsidTr="00E9534B">
        <w:trPr>
          <w:trHeight w:val="120"/>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8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r>
      <w:tr w:rsidR="00E9534B" w:rsidRPr="00E9534B" w:rsidTr="00E9534B">
        <w:trPr>
          <w:trHeight w:val="270"/>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8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r>
      <w:tr w:rsidR="00E9534B" w:rsidRPr="00E9534B" w:rsidTr="00E9534B">
        <w:trPr>
          <w:trHeight w:val="240"/>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89" w:type="dxa"/>
            <w:gridSpan w:val="4"/>
            <w:vMerge w:val="restart"/>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r w:rsidRPr="00E9534B">
              <w:rPr>
                <w:rFonts w:ascii="Calibri" w:eastAsia="Times New Roman" w:hAnsi="Calibri" w:cs="Calibri"/>
                <w:b/>
                <w:bCs/>
                <w:color w:val="000000"/>
                <w:sz w:val="18"/>
                <w:szCs w:val="18"/>
                <w:u w:val="single"/>
              </w:rPr>
              <w:t>Name of Fund</w:t>
            </w: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918" w:type="dxa"/>
            <w:gridSpan w:val="4"/>
            <w:vMerge w:val="restart"/>
            <w:tcBorders>
              <w:top w:val="nil"/>
              <w:left w:val="nil"/>
              <w:bottom w:val="nil"/>
              <w:right w:val="nil"/>
            </w:tcBorders>
            <w:shd w:val="clear" w:color="auto" w:fill="auto"/>
            <w:hideMark/>
          </w:tcPr>
          <w:p w:rsidR="00E9534B" w:rsidRDefault="00E9534B" w:rsidP="00E9534B">
            <w:pPr>
              <w:spacing w:after="0" w:line="240" w:lineRule="auto"/>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Beginning</w:t>
            </w:r>
          </w:p>
          <w:p w:rsidR="00E9534B" w:rsidRPr="00E9534B" w:rsidRDefault="00E9534B" w:rsidP="00E9534B">
            <w:pPr>
              <w:spacing w:after="0" w:line="240" w:lineRule="auto"/>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 xml:space="preserve"> </w:t>
            </w:r>
            <w:r w:rsidRPr="00E9534B">
              <w:rPr>
                <w:rFonts w:ascii="Calibri" w:eastAsia="Times New Roman" w:hAnsi="Calibri" w:cs="Calibri"/>
                <w:b/>
                <w:bCs/>
                <w:color w:val="000000"/>
                <w:sz w:val="18"/>
                <w:szCs w:val="18"/>
                <w:u w:val="single"/>
              </w:rPr>
              <w:t>Balance</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r w:rsidRPr="00E9534B">
              <w:rPr>
                <w:rFonts w:ascii="Calibri" w:eastAsia="Times New Roman" w:hAnsi="Calibri" w:cs="Calibri"/>
                <w:b/>
                <w:bCs/>
                <w:color w:val="000000"/>
                <w:sz w:val="18"/>
                <w:szCs w:val="18"/>
                <w:u w:val="single"/>
              </w:rPr>
              <w:t xml:space="preserve">Total </w:t>
            </w:r>
            <w:r w:rsidRPr="00E9534B">
              <w:rPr>
                <w:rFonts w:ascii="Calibri" w:eastAsia="Times New Roman" w:hAnsi="Calibri" w:cs="Calibri"/>
                <w:b/>
                <w:bCs/>
                <w:color w:val="000000"/>
                <w:sz w:val="18"/>
                <w:szCs w:val="18"/>
                <w:u w:val="single"/>
              </w:rPr>
              <w:br/>
              <w:t>Receipts</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r w:rsidRPr="00E9534B">
              <w:rPr>
                <w:rFonts w:ascii="Calibri" w:eastAsia="Times New Roman" w:hAnsi="Calibri" w:cs="Calibri"/>
                <w:b/>
                <w:bCs/>
                <w:color w:val="000000"/>
                <w:sz w:val="18"/>
                <w:szCs w:val="18"/>
                <w:u w:val="single"/>
              </w:rPr>
              <w:t>Total</w:t>
            </w:r>
            <w:r w:rsidRPr="00E9534B">
              <w:rPr>
                <w:rFonts w:ascii="Calibri" w:eastAsia="Times New Roman" w:hAnsi="Calibri" w:cs="Calibri"/>
                <w:b/>
                <w:bCs/>
                <w:color w:val="000000"/>
                <w:sz w:val="18"/>
                <w:szCs w:val="18"/>
                <w:u w:val="single"/>
              </w:rPr>
              <w:br/>
              <w:t>Disbursed</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r w:rsidRPr="00E9534B">
              <w:rPr>
                <w:rFonts w:ascii="Calibri" w:eastAsia="Times New Roman" w:hAnsi="Calibri" w:cs="Calibri"/>
                <w:b/>
                <w:bCs/>
                <w:color w:val="000000"/>
                <w:sz w:val="18"/>
                <w:szCs w:val="18"/>
                <w:u w:val="single"/>
              </w:rPr>
              <w:t>Ending</w:t>
            </w:r>
            <w:r w:rsidRPr="00E9534B">
              <w:rPr>
                <w:rFonts w:ascii="Calibri" w:eastAsia="Times New Roman" w:hAnsi="Calibri" w:cs="Calibri"/>
                <w:b/>
                <w:bCs/>
                <w:color w:val="000000"/>
                <w:sz w:val="18"/>
                <w:szCs w:val="18"/>
                <w:u w:val="single"/>
              </w:rPr>
              <w:br/>
              <w:t>Balance</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r>
      <w:tr w:rsidR="00E9534B" w:rsidRPr="00E9534B" w:rsidTr="00E9534B">
        <w:trPr>
          <w:trHeight w:val="300"/>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89" w:type="dxa"/>
            <w:gridSpan w:val="4"/>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918" w:type="dxa"/>
            <w:gridSpan w:val="4"/>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18"/>
                <w:szCs w:val="18"/>
                <w:u w:val="single"/>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General Fund</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$145,560.44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$116.80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$2,509.77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$143,167.47 </w:t>
            </w: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Road and Bridge</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$204,042.81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$100.00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$365.87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$203,776.94 </w:t>
            </w: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Fire Fund</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$103,418.81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$103,418.81 </w:t>
            </w: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General Debt Service (Identify)</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Town Hall Building</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$319.28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$319.28 </w:t>
            </w: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Town Hall Indebtness</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$24,090.83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$24,090.83 </w:t>
            </w:r>
          </w:p>
        </w:tc>
      </w:tr>
      <w:tr w:rsidR="00E9534B" w:rsidRPr="00E9534B" w:rsidTr="00E9534B">
        <w:trPr>
          <w:trHeight w:val="31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362" w:type="dxa"/>
            <w:gridSpan w:val="6"/>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Camp Cherith</w:t>
            </w:r>
          </w:p>
        </w:tc>
        <w:tc>
          <w:tcPr>
            <w:tcW w:w="1918"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80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3"/>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c>
          <w:tcPr>
            <w:tcW w:w="1782" w:type="dxa"/>
            <w:gridSpan w:val="4"/>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color w:val="000000"/>
                <w:sz w:val="20"/>
                <w:szCs w:val="20"/>
              </w:rPr>
            </w:pPr>
            <w:r w:rsidRPr="00E9534B">
              <w:rPr>
                <w:rFonts w:ascii="Calibri" w:eastAsia="Times New Roman" w:hAnsi="Calibri" w:cs="Calibri"/>
                <w:color w:val="000000"/>
                <w:sz w:val="20"/>
                <w:szCs w:val="20"/>
              </w:rPr>
              <w:t xml:space="preserve">$0.00 </w:t>
            </w:r>
          </w:p>
        </w:tc>
      </w:tr>
      <w:tr w:rsidR="00E9534B" w:rsidRPr="00E9534B" w:rsidTr="00E9534B">
        <w:trPr>
          <w:trHeight w:val="13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8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918" w:type="dxa"/>
            <w:gridSpan w:val="4"/>
            <w:vMerge w:val="restart"/>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b/>
                <w:bCs/>
                <w:color w:val="000000"/>
                <w:sz w:val="20"/>
                <w:szCs w:val="20"/>
              </w:rPr>
            </w:pPr>
            <w:r w:rsidRPr="00E9534B">
              <w:rPr>
                <w:rFonts w:ascii="Calibri" w:eastAsia="Times New Roman" w:hAnsi="Calibri" w:cs="Calibri"/>
                <w:b/>
                <w:bCs/>
                <w:color w:val="000000"/>
                <w:sz w:val="20"/>
                <w:szCs w:val="20"/>
              </w:rPr>
              <w:t xml:space="preserve">$477,432.17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b/>
                <w:bCs/>
                <w:color w:val="000000"/>
                <w:sz w:val="20"/>
                <w:szCs w:val="20"/>
              </w:rPr>
            </w:pPr>
            <w:r w:rsidRPr="00E9534B">
              <w:rPr>
                <w:rFonts w:ascii="Calibri" w:eastAsia="Times New Roman" w:hAnsi="Calibri" w:cs="Calibri"/>
                <w:b/>
                <w:bCs/>
                <w:color w:val="000000"/>
                <w:sz w:val="20"/>
                <w:szCs w:val="20"/>
              </w:rPr>
              <w:t xml:space="preserve">$216.80 </w:t>
            </w: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782" w:type="dxa"/>
            <w:gridSpan w:val="3"/>
            <w:vMerge w:val="restart"/>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b/>
                <w:bCs/>
                <w:color w:val="000000"/>
                <w:sz w:val="20"/>
                <w:szCs w:val="20"/>
              </w:rPr>
            </w:pPr>
            <w:r w:rsidRPr="00E9534B">
              <w:rPr>
                <w:rFonts w:ascii="Calibri" w:eastAsia="Times New Roman" w:hAnsi="Calibri" w:cs="Calibri"/>
                <w:b/>
                <w:bCs/>
                <w:color w:val="000000"/>
                <w:sz w:val="20"/>
                <w:szCs w:val="20"/>
              </w:rPr>
              <w:t xml:space="preserve">$2,875.64 </w:t>
            </w:r>
          </w:p>
        </w:tc>
        <w:tc>
          <w:tcPr>
            <w:tcW w:w="1782" w:type="dxa"/>
            <w:gridSpan w:val="4"/>
            <w:vMerge w:val="restart"/>
            <w:tcBorders>
              <w:top w:val="nil"/>
              <w:left w:val="nil"/>
              <w:bottom w:val="nil"/>
              <w:right w:val="nil"/>
            </w:tcBorders>
            <w:shd w:val="clear" w:color="auto" w:fill="auto"/>
            <w:noWrap/>
            <w:hideMark/>
          </w:tcPr>
          <w:p w:rsidR="00E9534B" w:rsidRPr="00E9534B" w:rsidRDefault="00E9534B" w:rsidP="00E9534B">
            <w:pPr>
              <w:spacing w:after="0" w:line="240" w:lineRule="auto"/>
              <w:rPr>
                <w:rFonts w:ascii="Calibri" w:eastAsia="Times New Roman" w:hAnsi="Calibri" w:cs="Calibri"/>
                <w:b/>
                <w:bCs/>
                <w:color w:val="000000"/>
                <w:sz w:val="20"/>
                <w:szCs w:val="20"/>
              </w:rPr>
            </w:pPr>
            <w:r w:rsidRPr="00E9534B">
              <w:rPr>
                <w:rFonts w:ascii="Calibri" w:eastAsia="Times New Roman" w:hAnsi="Calibri" w:cs="Calibri"/>
                <w:b/>
                <w:bCs/>
                <w:color w:val="000000"/>
                <w:sz w:val="20"/>
                <w:szCs w:val="20"/>
              </w:rPr>
              <w:t xml:space="preserve">$474,773.33 </w:t>
            </w:r>
          </w:p>
        </w:tc>
      </w:tr>
      <w:tr w:rsidR="00E9534B" w:rsidRPr="00E9534B" w:rsidTr="00E9534B">
        <w:trPr>
          <w:trHeight w:val="13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172" w:type="dxa"/>
            <w:gridSpan w:val="2"/>
            <w:vMerge w:val="restart"/>
            <w:tcBorders>
              <w:top w:val="nil"/>
              <w:left w:val="nil"/>
              <w:bottom w:val="nil"/>
              <w:right w:val="nil"/>
            </w:tcBorders>
            <w:shd w:val="clear" w:color="auto" w:fill="auto"/>
            <w:hideMark/>
          </w:tcPr>
          <w:p w:rsidR="00E9534B" w:rsidRPr="00E9534B" w:rsidRDefault="00E9534B" w:rsidP="00E9534B">
            <w:pPr>
              <w:spacing w:after="0" w:line="240" w:lineRule="auto"/>
              <w:rPr>
                <w:rFonts w:ascii="Calibri" w:eastAsia="Times New Roman" w:hAnsi="Calibri" w:cs="Calibri"/>
                <w:b/>
                <w:bCs/>
                <w:color w:val="000000"/>
                <w:sz w:val="20"/>
                <w:szCs w:val="20"/>
              </w:rPr>
            </w:pPr>
            <w:r w:rsidRPr="00E9534B">
              <w:rPr>
                <w:rFonts w:ascii="Calibri" w:eastAsia="Times New Roman" w:hAnsi="Calibri" w:cs="Calibri"/>
                <w:b/>
                <w:bCs/>
                <w:color w:val="000000"/>
                <w:sz w:val="20"/>
                <w:szCs w:val="20"/>
              </w:rPr>
              <w:t xml:space="preserve">Total </w:t>
            </w:r>
          </w:p>
        </w:tc>
        <w:tc>
          <w:tcPr>
            <w:tcW w:w="5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918" w:type="dxa"/>
            <w:gridSpan w:val="4"/>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782" w:type="dxa"/>
            <w:gridSpan w:val="3"/>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20"/>
                <w:szCs w:val="20"/>
              </w:rPr>
            </w:pPr>
          </w:p>
        </w:tc>
        <w:tc>
          <w:tcPr>
            <w:tcW w:w="1782" w:type="dxa"/>
            <w:gridSpan w:val="4"/>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20"/>
                <w:szCs w:val="20"/>
              </w:rPr>
            </w:pPr>
          </w:p>
        </w:tc>
      </w:tr>
      <w:tr w:rsidR="00E9534B" w:rsidRPr="00E9534B" w:rsidTr="00E9534B">
        <w:trPr>
          <w:trHeight w:val="135"/>
        </w:trPr>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172" w:type="dxa"/>
            <w:gridSpan w:val="2"/>
            <w:vMerge/>
            <w:tcBorders>
              <w:top w:val="nil"/>
              <w:left w:val="nil"/>
              <w:bottom w:val="nil"/>
              <w:right w:val="nil"/>
            </w:tcBorders>
            <w:vAlign w:val="center"/>
            <w:hideMark/>
          </w:tcPr>
          <w:p w:rsidR="00E9534B" w:rsidRPr="00E9534B" w:rsidRDefault="00E9534B" w:rsidP="00E9534B">
            <w:pPr>
              <w:spacing w:after="0" w:line="240" w:lineRule="auto"/>
              <w:rPr>
                <w:rFonts w:ascii="Calibri" w:eastAsia="Times New Roman" w:hAnsi="Calibri" w:cs="Calibri"/>
                <w:b/>
                <w:bCs/>
                <w:color w:val="000000"/>
                <w:sz w:val="20"/>
                <w:szCs w:val="20"/>
              </w:rPr>
            </w:pPr>
          </w:p>
        </w:tc>
        <w:tc>
          <w:tcPr>
            <w:tcW w:w="5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E9534B" w:rsidRPr="00E9534B" w:rsidRDefault="00E9534B" w:rsidP="00E9534B">
            <w:pPr>
              <w:spacing w:after="0" w:line="240" w:lineRule="auto"/>
              <w:rPr>
                <w:rFonts w:ascii="Arial" w:eastAsia="Times New Roman" w:hAnsi="Arial" w:cs="Arial"/>
                <w:color w:val="000000"/>
                <w:sz w:val="20"/>
                <w:szCs w:val="20"/>
              </w:rPr>
            </w:pPr>
          </w:p>
        </w:tc>
      </w:tr>
    </w:tbl>
    <w:p w:rsidR="00E9534B" w:rsidRDefault="00E9534B" w:rsidP="00301264">
      <w:pPr>
        <w:spacing w:after="0" w:line="240" w:lineRule="auto"/>
        <w:jc w:val="both"/>
      </w:pPr>
    </w:p>
    <w:p w:rsidR="00301264" w:rsidRDefault="00301264" w:rsidP="00301264">
      <w:pPr>
        <w:spacing w:after="0" w:line="240" w:lineRule="auto"/>
        <w:jc w:val="both"/>
      </w:pPr>
    </w:p>
    <w:p w:rsidR="00301264" w:rsidRDefault="00301264" w:rsidP="00301264">
      <w:pPr>
        <w:spacing w:after="0" w:line="240" w:lineRule="auto"/>
        <w:jc w:val="both"/>
      </w:pPr>
      <w:r>
        <w:t xml:space="preserve">D Sonnenberg made a motion to approve the disbursements as presented.  Kellogg second. All in favor. Motion carried. </w:t>
      </w:r>
    </w:p>
    <w:p w:rsidR="00301264" w:rsidRDefault="00301264" w:rsidP="00301264">
      <w:pPr>
        <w:spacing w:after="0" w:line="240" w:lineRule="auto"/>
        <w:jc w:val="both"/>
      </w:pPr>
    </w:p>
    <w:p w:rsidR="00301264" w:rsidRDefault="00301264" w:rsidP="00301264">
      <w:pPr>
        <w:spacing w:after="0" w:line="240" w:lineRule="auto"/>
        <w:jc w:val="both"/>
      </w:pPr>
      <w:r>
        <w:t xml:space="preserve">Posch stated that his sewer needs repairs and is asking the TWP’s permission to cross the road again to fix the problem.  The Board reviewed the plan.  Kellogg made a motion to allow Posch to cross the TWP to fix his existing septic problem on South Rose Lake Rd.  D Sonnenberg second.  All in favor. Motion carried. </w:t>
      </w:r>
    </w:p>
    <w:p w:rsidR="00301264" w:rsidRDefault="00301264" w:rsidP="00301264">
      <w:pPr>
        <w:spacing w:after="0" w:line="240" w:lineRule="auto"/>
        <w:jc w:val="both"/>
      </w:pPr>
    </w:p>
    <w:p w:rsidR="00301264" w:rsidRDefault="00301264" w:rsidP="00301264">
      <w:pPr>
        <w:spacing w:after="0" w:line="240" w:lineRule="auto"/>
        <w:jc w:val="both"/>
      </w:pPr>
      <w:r>
        <w:t>Don Miller questioned if 345</w:t>
      </w:r>
      <w:r w:rsidRPr="00301264">
        <w:rPr>
          <w:vertAlign w:val="superscript"/>
        </w:rPr>
        <w:t>th</w:t>
      </w:r>
      <w:r>
        <w:t xml:space="preserve"> will get done yet this fall.  The Board explained that if the weather cooperates, it should.  They will check with the contractor to see what the status is. </w:t>
      </w:r>
    </w:p>
    <w:p w:rsidR="00301264" w:rsidRDefault="00301264" w:rsidP="00301264">
      <w:pPr>
        <w:spacing w:after="0" w:line="240" w:lineRule="auto"/>
        <w:jc w:val="both"/>
      </w:pPr>
    </w:p>
    <w:p w:rsidR="00301264" w:rsidRDefault="00301264" w:rsidP="00301264">
      <w:pPr>
        <w:spacing w:after="0" w:line="240" w:lineRule="auto"/>
        <w:jc w:val="both"/>
      </w:pPr>
      <w:r>
        <w:t xml:space="preserve">Poppenhagen’s questioned if the recent road improvements near their property will be assessed to them or if the Township is taking </w:t>
      </w:r>
      <w:r w:rsidR="00E90B16">
        <w:t xml:space="preserve">care of the cost.  The Board explained that since the asphalt was the only way to control an existing erosion problem with the road, the TWP will be absorbing the cost of the project.  They also questioned if shouldering would be included in the project, so that the road would blend into their existing driveway without a drop off.  The Board said that was included.  Poppenhagen’s then asked questioned about them using the townhall for a Frazee team sport during winter months and procedure.  The Board explained the TWP’s policy on the townhall rental and if Poppenhagen rented the hall, it could be used for the sport.  </w:t>
      </w:r>
      <w:r w:rsidR="00E90B16">
        <w:lastRenderedPageBreak/>
        <w:t xml:space="preserve">Poppenhagen’s also brought up that the new owners of the corner house(Tappe’s old house) have constructed steps down to the lake, across the road from their house.  Instead of walking to the road and down the steps, they are parking on the curve, making it a dangerous situation on the curve and asked the Board what could be done.  The Board will look into posting this as a no parking zone. </w:t>
      </w:r>
    </w:p>
    <w:p w:rsidR="00E90B16" w:rsidRDefault="00E90B16" w:rsidP="00301264">
      <w:pPr>
        <w:spacing w:after="0" w:line="240" w:lineRule="auto"/>
        <w:jc w:val="both"/>
      </w:pPr>
    </w:p>
    <w:p w:rsidR="00E90B16" w:rsidRDefault="00E90B16" w:rsidP="00301264">
      <w:pPr>
        <w:spacing w:after="0" w:line="240" w:lineRule="auto"/>
        <w:jc w:val="both"/>
      </w:pPr>
      <w:r>
        <w:t xml:space="preserve">The speed bump by Antoneson’s farm was discussed due to a couple of complaints recently received.  The Board explained that the speed bump was legally placed there due to no one obeying the speed limit signs already posted.  The speed bump is clearly marked and is removed when snow removal needs to be done.  Those not seeing the speed bump signs clearly are not seeing the speed limit signs either.  </w:t>
      </w:r>
    </w:p>
    <w:p w:rsidR="00E90B16" w:rsidRDefault="00E90B16" w:rsidP="00301264">
      <w:pPr>
        <w:spacing w:after="0" w:line="240" w:lineRule="auto"/>
        <w:jc w:val="both"/>
      </w:pPr>
    </w:p>
    <w:p w:rsidR="00E90B16" w:rsidRDefault="00E90B16" w:rsidP="00301264">
      <w:pPr>
        <w:spacing w:after="0" w:line="240" w:lineRule="auto"/>
        <w:jc w:val="both"/>
      </w:pPr>
    </w:p>
    <w:p w:rsidR="00E90B16" w:rsidRDefault="00E90B16" w:rsidP="00301264">
      <w:pPr>
        <w:spacing w:after="0" w:line="240" w:lineRule="auto"/>
        <w:jc w:val="both"/>
      </w:pPr>
      <w:r>
        <w:t xml:space="preserve">Kellogg made a motion to contract for sand and salt from the County again this year.  D Sonnenberg second.  All in favor. Motion carried. </w:t>
      </w:r>
    </w:p>
    <w:p w:rsidR="00E90B16" w:rsidRDefault="00E90B16" w:rsidP="00301264">
      <w:pPr>
        <w:spacing w:after="0" w:line="240" w:lineRule="auto"/>
        <w:jc w:val="both"/>
      </w:pPr>
    </w:p>
    <w:p w:rsidR="00E90B16" w:rsidRDefault="00E90B16" w:rsidP="00301264">
      <w:pPr>
        <w:spacing w:after="0" w:line="240" w:lineRule="auto"/>
        <w:jc w:val="both"/>
      </w:pPr>
      <w:r>
        <w:t>The EOT Annual Meeting will be held on Tuesday, October 22, 2019 at Deer Creek, start time is 7:00 p.m.</w:t>
      </w:r>
    </w:p>
    <w:p w:rsidR="0088539F" w:rsidRDefault="0088539F" w:rsidP="00301264">
      <w:pPr>
        <w:spacing w:after="0" w:line="240" w:lineRule="auto"/>
        <w:jc w:val="both"/>
      </w:pPr>
    </w:p>
    <w:p w:rsidR="0088539F" w:rsidRDefault="0088539F" w:rsidP="00301264">
      <w:pPr>
        <w:spacing w:after="0" w:line="240" w:lineRule="auto"/>
        <w:jc w:val="both"/>
      </w:pPr>
      <w:r>
        <w:t xml:space="preserve">Since there was no further business to come before the Board, Hockett adjourned the meeting.  </w:t>
      </w:r>
    </w:p>
    <w:p w:rsidR="0088539F" w:rsidRDefault="0088539F" w:rsidP="00301264">
      <w:pPr>
        <w:spacing w:after="0" w:line="240" w:lineRule="auto"/>
        <w:jc w:val="both"/>
      </w:pPr>
    </w:p>
    <w:p w:rsidR="0088539F" w:rsidRDefault="0088539F" w:rsidP="00301264">
      <w:pPr>
        <w:spacing w:after="0" w:line="240" w:lineRule="auto"/>
        <w:jc w:val="both"/>
      </w:pPr>
      <w:r>
        <w:t xml:space="preserve">Respectfully submitted, </w:t>
      </w:r>
    </w:p>
    <w:p w:rsidR="0088539F" w:rsidRDefault="0088539F" w:rsidP="00301264">
      <w:pPr>
        <w:spacing w:after="0" w:line="240" w:lineRule="auto"/>
        <w:jc w:val="both"/>
      </w:pPr>
    </w:p>
    <w:p w:rsidR="0088539F" w:rsidRDefault="0088539F" w:rsidP="00301264">
      <w:pPr>
        <w:spacing w:after="0" w:line="240" w:lineRule="auto"/>
        <w:jc w:val="both"/>
      </w:pPr>
      <w:r>
        <w:t xml:space="preserve">Debi Moltzan, Clerk. </w:t>
      </w:r>
    </w:p>
    <w:sectPr w:rsidR="0088539F"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4B4" w:rsidRDefault="000614B4" w:rsidP="00AD4FEC">
      <w:pPr>
        <w:spacing w:after="0" w:line="240" w:lineRule="auto"/>
      </w:pPr>
      <w:r>
        <w:separator/>
      </w:r>
    </w:p>
  </w:endnote>
  <w:endnote w:type="continuationSeparator" w:id="1">
    <w:p w:rsidR="000614B4" w:rsidRDefault="000614B4" w:rsidP="00AD4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4B4" w:rsidRDefault="000614B4" w:rsidP="00AD4FEC">
      <w:pPr>
        <w:spacing w:after="0" w:line="240" w:lineRule="auto"/>
      </w:pPr>
      <w:r>
        <w:separator/>
      </w:r>
    </w:p>
  </w:footnote>
  <w:footnote w:type="continuationSeparator" w:id="1">
    <w:p w:rsidR="000614B4" w:rsidRDefault="000614B4" w:rsidP="00AD4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EC" w:rsidRDefault="00AD4FEC">
    <w:pPr>
      <w:pStyle w:val="Header"/>
    </w:pPr>
    <w:r>
      <w:tab/>
    </w:r>
    <w:r>
      <w:tab/>
      <w:t>approved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614B4"/>
    <w:rsid w:val="00075CBE"/>
    <w:rsid w:val="0008281F"/>
    <w:rsid w:val="00082BA4"/>
    <w:rsid w:val="000905B8"/>
    <w:rsid w:val="001F5AB0"/>
    <w:rsid w:val="00245CFB"/>
    <w:rsid w:val="00255623"/>
    <w:rsid w:val="0026549B"/>
    <w:rsid w:val="00301264"/>
    <w:rsid w:val="003103EC"/>
    <w:rsid w:val="00350A00"/>
    <w:rsid w:val="00397C81"/>
    <w:rsid w:val="004072D7"/>
    <w:rsid w:val="00443BEA"/>
    <w:rsid w:val="00464A8F"/>
    <w:rsid w:val="00527BFD"/>
    <w:rsid w:val="005C4797"/>
    <w:rsid w:val="0068514A"/>
    <w:rsid w:val="006952ED"/>
    <w:rsid w:val="006D7278"/>
    <w:rsid w:val="00726968"/>
    <w:rsid w:val="00747DFB"/>
    <w:rsid w:val="0088539F"/>
    <w:rsid w:val="00933A5B"/>
    <w:rsid w:val="00951288"/>
    <w:rsid w:val="00992F13"/>
    <w:rsid w:val="009E79E6"/>
    <w:rsid w:val="00A1141C"/>
    <w:rsid w:val="00A741E2"/>
    <w:rsid w:val="00AA718E"/>
    <w:rsid w:val="00AD4FEC"/>
    <w:rsid w:val="00B23F89"/>
    <w:rsid w:val="00B641DD"/>
    <w:rsid w:val="00B66EE8"/>
    <w:rsid w:val="00B93EFA"/>
    <w:rsid w:val="00BA4631"/>
    <w:rsid w:val="00C00F9C"/>
    <w:rsid w:val="00C801DE"/>
    <w:rsid w:val="00D60B8E"/>
    <w:rsid w:val="00D67FD2"/>
    <w:rsid w:val="00E61F72"/>
    <w:rsid w:val="00E648D6"/>
    <w:rsid w:val="00E90B16"/>
    <w:rsid w:val="00E9534B"/>
    <w:rsid w:val="00EA5DC8"/>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semiHidden/>
    <w:unhideWhenUsed/>
    <w:rsid w:val="00AD4FEC"/>
    <w:pPr>
      <w:tabs>
        <w:tab w:val="center" w:pos="4680"/>
        <w:tab w:val="right" w:pos="9360"/>
      </w:tabs>
    </w:pPr>
  </w:style>
  <w:style w:type="character" w:customStyle="1" w:styleId="HeaderChar">
    <w:name w:val="Header Char"/>
    <w:basedOn w:val="DefaultParagraphFont"/>
    <w:link w:val="Header"/>
    <w:uiPriority w:val="99"/>
    <w:semiHidden/>
    <w:rsid w:val="00AD4FEC"/>
    <w:rPr>
      <w:sz w:val="24"/>
      <w:szCs w:val="24"/>
    </w:rPr>
  </w:style>
  <w:style w:type="paragraph" w:styleId="Footer">
    <w:name w:val="footer"/>
    <w:basedOn w:val="Normal"/>
    <w:link w:val="FooterChar"/>
    <w:uiPriority w:val="99"/>
    <w:semiHidden/>
    <w:unhideWhenUsed/>
    <w:rsid w:val="00AD4FEC"/>
    <w:pPr>
      <w:tabs>
        <w:tab w:val="center" w:pos="4680"/>
        <w:tab w:val="right" w:pos="9360"/>
      </w:tabs>
    </w:pPr>
  </w:style>
  <w:style w:type="character" w:customStyle="1" w:styleId="FooterChar">
    <w:name w:val="Footer Char"/>
    <w:basedOn w:val="DefaultParagraphFont"/>
    <w:link w:val="Footer"/>
    <w:uiPriority w:val="99"/>
    <w:semiHidden/>
    <w:rsid w:val="00AD4FEC"/>
    <w:rPr>
      <w:sz w:val="24"/>
      <w:szCs w:val="24"/>
    </w:rPr>
  </w:style>
</w:styles>
</file>

<file path=word/webSettings.xml><?xml version="1.0" encoding="utf-8"?>
<w:webSettings xmlns:r="http://schemas.openxmlformats.org/officeDocument/2006/relationships" xmlns:w="http://schemas.openxmlformats.org/wordprocessingml/2006/main">
  <w:divs>
    <w:div w:id="322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6</cp:revision>
  <cp:lastPrinted>2019-10-08T23:17:00Z</cp:lastPrinted>
  <dcterms:created xsi:type="dcterms:W3CDTF">2019-10-11T01:15:00Z</dcterms:created>
  <dcterms:modified xsi:type="dcterms:W3CDTF">2019-11-26T02:38:00Z</dcterms:modified>
</cp:coreProperties>
</file>